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349" w:rsidRPr="004640A8" w:rsidRDefault="001E7349" w:rsidP="004640A8">
      <w:pPr>
        <w:spacing w:line="360" w:lineRule="auto"/>
        <w:jc w:val="center"/>
      </w:pPr>
      <w:r>
        <w:rPr>
          <w:noProof/>
          <w:lang w:val="en-GB"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s1026" type="#_x0000_t75" style="position:absolute;left:0;text-align:left;margin-left:198pt;margin-top:-36pt;width:87pt;height:105.75pt;z-index:251658240;visibility:visible">
            <v:imagedata r:id="rId7" o:title=""/>
          </v:shape>
        </w:pict>
      </w:r>
    </w:p>
    <w:p w:rsidR="001E7349" w:rsidRDefault="001E7349">
      <w:pPr>
        <w:pStyle w:val="NormalWeb"/>
        <w:shd w:val="clear" w:color="auto" w:fill="FFFFFF"/>
        <w:spacing w:before="0" w:after="0" w:line="360" w:lineRule="auto"/>
        <w:jc w:val="center"/>
        <w:rPr>
          <w:rFonts w:ascii="Garamond" w:hAnsi="Garamond"/>
          <w:color w:val="2F5496"/>
          <w:sz w:val="32"/>
          <w:szCs w:val="32"/>
          <w:lang w:val="en-GB"/>
        </w:rPr>
      </w:pPr>
    </w:p>
    <w:p w:rsidR="001E7349" w:rsidRDefault="001E7349">
      <w:pPr>
        <w:pStyle w:val="NormalWeb"/>
        <w:shd w:val="clear" w:color="auto" w:fill="FFFFFF"/>
        <w:spacing w:before="0" w:after="0" w:line="360" w:lineRule="auto"/>
        <w:jc w:val="center"/>
        <w:rPr>
          <w:rFonts w:ascii="Garamond" w:hAnsi="Garamond"/>
          <w:color w:val="2F5496"/>
          <w:sz w:val="32"/>
          <w:szCs w:val="32"/>
          <w:lang w:val="en-GB"/>
        </w:rPr>
      </w:pPr>
    </w:p>
    <w:p w:rsidR="001E7349" w:rsidRDefault="001E7349">
      <w:pPr>
        <w:pStyle w:val="NormalWeb"/>
        <w:shd w:val="clear" w:color="auto" w:fill="FFFFFF"/>
        <w:spacing w:before="0" w:after="0" w:line="360" w:lineRule="auto"/>
        <w:jc w:val="center"/>
        <w:rPr>
          <w:rFonts w:ascii="Garamond" w:hAnsi="Garamond"/>
          <w:color w:val="2F5496"/>
          <w:sz w:val="32"/>
          <w:szCs w:val="32"/>
          <w:lang w:val="en-GB"/>
        </w:rPr>
      </w:pPr>
    </w:p>
    <w:p w:rsidR="001E7349" w:rsidRPr="004640A8" w:rsidRDefault="001E7349" w:rsidP="00E86FA7">
      <w:pPr>
        <w:pStyle w:val="NormalWeb"/>
        <w:shd w:val="clear" w:color="auto" w:fill="FFFFFF"/>
        <w:spacing w:before="0" w:after="0" w:line="360" w:lineRule="auto"/>
        <w:jc w:val="center"/>
        <w:rPr>
          <w:rFonts w:ascii="Garamond" w:hAnsi="Garamond"/>
          <w:color w:val="2F5496"/>
          <w:sz w:val="32"/>
          <w:szCs w:val="32"/>
          <w:lang w:val="en-GB"/>
        </w:rPr>
      </w:pPr>
      <w:r>
        <w:rPr>
          <w:rFonts w:ascii="Garamond" w:hAnsi="Garamond"/>
          <w:color w:val="2F5496"/>
          <w:sz w:val="32"/>
          <w:szCs w:val="32"/>
          <w:lang w:val="en-GB"/>
        </w:rPr>
        <w:t>STRATEGIC TRENDS - INDO-PACIFIC May  2020</w:t>
      </w:r>
    </w:p>
    <w:p w:rsidR="001E7349" w:rsidRDefault="001E7349">
      <w:pPr>
        <w:pStyle w:val="NormalWeb"/>
        <w:shd w:val="clear" w:color="auto" w:fill="FFFFFF"/>
        <w:spacing w:before="0" w:after="0" w:line="360" w:lineRule="auto"/>
        <w:jc w:val="center"/>
        <w:rPr>
          <w:rFonts w:ascii="Garamond" w:hAnsi="Garamond"/>
          <w:sz w:val="32"/>
          <w:szCs w:val="32"/>
          <w:lang w:val="en-GB"/>
        </w:rPr>
      </w:pPr>
    </w:p>
    <w:p w:rsidR="001E7349" w:rsidRPr="00E86FA7" w:rsidRDefault="001E7349" w:rsidP="00E86FA7">
      <w:pPr>
        <w:rPr>
          <w:rFonts w:ascii="Garamond" w:hAnsi="Garamond"/>
          <w:b/>
          <w:bCs/>
          <w:sz w:val="28"/>
          <w:szCs w:val="28"/>
          <w:lang w:val="en-GB"/>
        </w:rPr>
      </w:pPr>
      <w:smartTag w:uri="urn:schemas-microsoft-com:office:smarttags" w:element="place">
        <w:smartTag w:uri="urn:schemas-microsoft-com:office:smarttags" w:element="country-region">
          <w:r w:rsidRPr="00E86FA7">
            <w:rPr>
              <w:rFonts w:ascii="Garamond" w:hAnsi="Garamond"/>
              <w:b/>
              <w:bCs/>
              <w:sz w:val="28"/>
              <w:szCs w:val="28"/>
              <w:lang w:val="en-GB"/>
            </w:rPr>
            <w:t>China</w:t>
          </w:r>
        </w:smartTag>
      </w:smartTag>
      <w:r w:rsidRPr="00E86FA7">
        <w:rPr>
          <w:rFonts w:ascii="Garamond" w:hAnsi="Garamond"/>
          <w:b/>
          <w:bCs/>
          <w:sz w:val="28"/>
          <w:szCs w:val="28"/>
          <w:lang w:val="en-GB"/>
        </w:rPr>
        <w:t xml:space="preserve"> trying to use Covid-19 to its advantage in the Indo-Pacific?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is using Covid-19 disruption to assert itself over what it considers “core interests” in the Indo-Pacific: namely </w:t>
      </w:r>
      <w:smartTag w:uri="urn:schemas-microsoft-com:office:smarttags" w:element="place">
        <w:smartTag w:uri="urn:schemas-microsoft-com:office:smarttags" w:element="City">
          <w:r w:rsidRPr="00644AD7">
            <w:rPr>
              <w:rFonts w:ascii="Garamond" w:hAnsi="Garamond"/>
              <w:sz w:val="24"/>
              <w:szCs w:val="24"/>
              <w:lang w:val="en-GB"/>
            </w:rPr>
            <w:t>Hong Kong</w:t>
          </w:r>
        </w:smartTag>
        <w:r w:rsidRPr="00644AD7">
          <w:rPr>
            <w:rFonts w:ascii="Garamond" w:hAnsi="Garamond"/>
            <w:sz w:val="24"/>
            <w:szCs w:val="24"/>
            <w:lang w:val="en-GB"/>
          </w:rPr>
          <w:t xml:space="preserve">, </w:t>
        </w:r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Taiwan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and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South China Sea</w:t>
        </w:r>
      </w:smartTag>
      <w:r w:rsidRPr="00644AD7">
        <w:rPr>
          <w:rFonts w:ascii="Garamond" w:hAnsi="Garamond"/>
          <w:sz w:val="24"/>
          <w:szCs w:val="24"/>
          <w:lang w:val="en-GB"/>
        </w:rPr>
        <w:t>. Some counteraction by other powers is apparent.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r w:rsidRPr="00644AD7">
        <w:rPr>
          <w:rFonts w:ascii="Garamond" w:hAnsi="Garamond"/>
          <w:sz w:val="24"/>
          <w:szCs w:val="24"/>
          <w:lang w:val="en-GB"/>
        </w:rPr>
        <w:t xml:space="preserve">Firstly, in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Hong Kong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, on the 18th of April, around a dozen pro-democracy activists and lawmakers were arrested, the largest single-day round-up in years. These included Martin Lee, the 81 year-old founder of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Hong Kong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’s opposition Democratic Party. On the 6th of May, </w:t>
      </w:r>
      <w:r w:rsidRPr="00644AD7">
        <w:rPr>
          <w:rFonts w:ascii="Garamond" w:hAnsi="Garamond"/>
          <w:color w:val="121212"/>
          <w:sz w:val="24"/>
          <w:szCs w:val="24"/>
          <w:shd w:val="clear" w:color="auto" w:fill="FFFFFF"/>
          <w:lang w:val="en-GB"/>
        </w:rPr>
        <w:t>China’s Hong Kong and Macao Affairs Office said the central government in Beijing would not rest until this “</w:t>
      </w:r>
      <w:r w:rsidRPr="00644AD7">
        <w:rPr>
          <w:rFonts w:ascii="Garamond" w:hAnsi="Garamond"/>
          <w:i/>
          <w:iCs/>
          <w:color w:val="121212"/>
          <w:sz w:val="24"/>
          <w:szCs w:val="24"/>
          <w:shd w:val="clear" w:color="auto" w:fill="FFFFFF"/>
          <w:lang w:val="en-GB"/>
        </w:rPr>
        <w:t>political virus</w:t>
      </w:r>
      <w:r w:rsidRPr="00644AD7">
        <w:rPr>
          <w:rFonts w:ascii="Garamond" w:hAnsi="Garamond"/>
          <w:color w:val="121212"/>
          <w:sz w:val="24"/>
          <w:szCs w:val="24"/>
          <w:shd w:val="clear" w:color="auto" w:fill="FFFFFF"/>
          <w:lang w:val="en-GB"/>
        </w:rPr>
        <w:t>” represented by the pro-democracy movement was “</w:t>
      </w:r>
      <w:r w:rsidRPr="00644AD7">
        <w:rPr>
          <w:rFonts w:ascii="Garamond" w:hAnsi="Garamond"/>
          <w:i/>
          <w:iCs/>
          <w:color w:val="121212"/>
          <w:sz w:val="24"/>
          <w:szCs w:val="24"/>
          <w:shd w:val="clear" w:color="auto" w:fill="FFFFFF"/>
          <w:lang w:val="en-GB"/>
        </w:rPr>
        <w:t>eradicated</w:t>
      </w:r>
      <w:r w:rsidRPr="00644AD7">
        <w:rPr>
          <w:rFonts w:ascii="Garamond" w:hAnsi="Garamond"/>
          <w:color w:val="121212"/>
          <w:sz w:val="24"/>
          <w:szCs w:val="24"/>
          <w:shd w:val="clear" w:color="auto" w:fill="FFFFFF"/>
          <w:lang w:val="en-GB"/>
        </w:rPr>
        <w:t>”.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also flexed its muscles around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Taiwan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and in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South China Sea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. This met immediate criticism from the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US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government; but also from Indian commentators.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r w:rsidRPr="00644AD7">
        <w:rPr>
          <w:rFonts w:ascii="Garamond" w:hAnsi="Garamond"/>
          <w:sz w:val="24"/>
          <w:szCs w:val="24"/>
          <w:lang w:val="en-GB"/>
        </w:rPr>
        <w:t xml:space="preserve">At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India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’s Observer Research Foundation, Rajeswari Rajagopalan penned a piece on the 11th of April titled, “The danger of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>’s maritime aggression amid COVID-19”. Similarly, Commodore Jai Singh penned a piece in the Financial Express on the 1st of May titled “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>’s maritime aggression and options for 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India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”. With regards to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India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>, its government slapped restrictions on post-Covid-19 investment takeovers on April 17th, against countries that “</w:t>
      </w:r>
      <w:r w:rsidRPr="00644AD7">
        <w:rPr>
          <w:rFonts w:ascii="Garamond" w:hAnsi="Garamond"/>
          <w:i/>
          <w:iCs/>
          <w:sz w:val="24"/>
          <w:szCs w:val="24"/>
          <w:lang w:val="en-GB"/>
        </w:rPr>
        <w:t>share a land border</w:t>
      </w:r>
      <w:r w:rsidRPr="00644AD7">
        <w:rPr>
          <w:rFonts w:ascii="Garamond" w:hAnsi="Garamond"/>
          <w:sz w:val="24"/>
          <w:szCs w:val="24"/>
          <w:lang w:val="en-GB"/>
        </w:rPr>
        <w:t xml:space="preserve">” with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India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– in other words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>.  Along that disputed Himalayan land border, skirmishes between Chinese and Indian troops were reported on the 11th of May, simultaneously with air friction in Ladakh.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r w:rsidRPr="00644AD7">
        <w:rPr>
          <w:rFonts w:ascii="Garamond" w:hAnsi="Garamond"/>
          <w:sz w:val="24"/>
          <w:szCs w:val="24"/>
          <w:lang w:val="en-GB"/>
        </w:rPr>
        <w:t xml:space="preserve">Secondly,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exerted further pressure against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Taiwan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. On the 11th of April, the aircraft carrier </w:t>
      </w:r>
      <w:smartTag w:uri="urn:schemas-microsoft-com:office:smarttags" w:element="place">
        <w:smartTag w:uri="urn:schemas-microsoft-com:office:smarttags" w:element="State">
          <w:r w:rsidRPr="00644AD7">
            <w:rPr>
              <w:rFonts w:ascii="Garamond" w:hAnsi="Garamond"/>
              <w:sz w:val="24"/>
              <w:szCs w:val="24"/>
              <w:lang w:val="en-GB"/>
            </w:rPr>
            <w:t>Liaoning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(accompanied by </w:t>
      </w:r>
      <w:r w:rsidRPr="00644AD7">
        <w:rPr>
          <w:rFonts w:ascii="Garamond" w:hAnsi="Garamond"/>
          <w:sz w:val="24"/>
          <w:szCs w:val="24"/>
          <w:shd w:val="clear" w:color="auto" w:fill="FFFFFF"/>
          <w:lang w:val="en-GB"/>
        </w:rPr>
        <w:t>two guided-missile destroyers, two multi-role warships and one supply-class fast combat support ship)</w:t>
      </w:r>
      <w:r w:rsidRPr="00644AD7">
        <w:rPr>
          <w:rFonts w:ascii="Garamond" w:hAnsi="Garamond"/>
          <w:sz w:val="24"/>
          <w:szCs w:val="24"/>
          <w:lang w:val="en-GB"/>
        </w:rPr>
        <w:t xml:space="preserve"> passed through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Japan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’s Ryukyu chain to go down the eastern coastline of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Taiwan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. It is significant that the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US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increased its own deployments in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Taiwan Strait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; </w:t>
      </w:r>
      <w:r w:rsidRPr="00644AD7">
        <w:rPr>
          <w:rFonts w:ascii="Garamond" w:hAnsi="Garamond"/>
          <w:color w:val="111111"/>
          <w:sz w:val="24"/>
          <w:szCs w:val="24"/>
          <w:shd w:val="clear" w:color="auto" w:fill="FFFFFF"/>
          <w:lang w:val="en-GB"/>
        </w:rPr>
        <w:t xml:space="preserve">guided-missile destroyer </w:t>
      </w:r>
      <w:r w:rsidRPr="00644AD7">
        <w:rPr>
          <w:rFonts w:ascii="Garamond" w:hAnsi="Garamond"/>
          <w:sz w:val="24"/>
          <w:szCs w:val="24"/>
          <w:lang w:val="en-GB"/>
        </w:rPr>
        <w:t>USS Barry being sent through twice on the 10th and 24th of April.</w:t>
      </w:r>
    </w:p>
    <w:p w:rsidR="001E7349" w:rsidRPr="00644AD7" w:rsidRDefault="001E7349" w:rsidP="00E86FA7">
      <w:pPr>
        <w:rPr>
          <w:rFonts w:ascii="Garamond" w:hAnsi="Garamond"/>
          <w:sz w:val="24"/>
          <w:szCs w:val="24"/>
          <w:lang w:val="en-GB"/>
        </w:rPr>
      </w:pPr>
      <w:r w:rsidRPr="00644AD7">
        <w:rPr>
          <w:rFonts w:ascii="Garamond" w:hAnsi="Garamond"/>
          <w:sz w:val="24"/>
          <w:szCs w:val="24"/>
          <w:lang w:val="en-GB"/>
        </w:rPr>
        <w:t xml:space="preserve">Thirdly,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exerted itself in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South China Sea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 in Spring 2020. Initially this was against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Vietnam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, then the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Philippines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and then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Malaysia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. This was followed – at a time when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US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aircraft carriers were restricted in base at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Guam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 and </w:t>
      </w:r>
      <w:smartTag w:uri="urn:schemas-microsoft-com:office:smarttags" w:element="place">
        <w:smartTag w:uri="urn:schemas-microsoft-com:office:smarttags" w:element="City">
          <w:r w:rsidRPr="00644AD7">
            <w:rPr>
              <w:rFonts w:ascii="Garamond" w:hAnsi="Garamond"/>
              <w:sz w:val="24"/>
              <w:szCs w:val="24"/>
              <w:lang w:val="en-GB"/>
            </w:rPr>
            <w:t>Tokyo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through Covid-19 outbreaks – by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’s dispatch of its aircraft carrier group into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South China Sea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 for active exercising in mid-April. Chinese naval aircraft were also deployed to Fiery Cross Reef on the 11th of May.</w:t>
      </w:r>
    </w:p>
    <w:p w:rsidR="001E7349" w:rsidRPr="00644AD7" w:rsidRDefault="001E7349" w:rsidP="002341D5">
      <w:pPr>
        <w:rPr>
          <w:rFonts w:ascii="Garamond" w:hAnsi="Garamond"/>
          <w:sz w:val="24"/>
          <w:szCs w:val="24"/>
          <w:lang w:val="en-GB"/>
        </w:rPr>
      </w:pPr>
      <w:r w:rsidRPr="00644AD7">
        <w:rPr>
          <w:rFonts w:ascii="Garamond" w:hAnsi="Garamond"/>
          <w:sz w:val="24"/>
          <w:szCs w:val="24"/>
          <w:lang w:val="en-GB"/>
        </w:rPr>
        <w:t xml:space="preserve">However, outside powers responded. A powerful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US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 flotilla (USS America, USS Barry and USS Bunker Hill) was deployed to the </w:t>
      </w:r>
      <w:smartTag w:uri="urn:schemas-microsoft-com:office:smarttags" w:element="place">
        <w:r w:rsidRPr="00644AD7">
          <w:rPr>
            <w:rFonts w:ascii="Garamond" w:hAnsi="Garamond"/>
            <w:sz w:val="24"/>
            <w:szCs w:val="24"/>
            <w:lang w:val="en-GB"/>
          </w:rPr>
          <w:t>South China Sea</w:t>
        </w:r>
      </w:smartTag>
      <w:r w:rsidRPr="00644AD7">
        <w:rPr>
          <w:rFonts w:ascii="Garamond" w:hAnsi="Garamond"/>
          <w:sz w:val="24"/>
          <w:szCs w:val="24"/>
          <w:lang w:val="en-GB"/>
        </w:rPr>
        <w:t xml:space="preserve"> during April. The USS Barry carried out Freedom of Navigation operations around the Paracels. The USS Bunker Hill was, significantly, joined by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Australia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 xml:space="preserve">’s HMS Parammata to lend support to the beleaguered Malaysian drill ship the West Capella, as was USS Montgomery on the </w:t>
      </w:r>
      <w:r>
        <w:rPr>
          <w:rFonts w:ascii="Garamond" w:hAnsi="Garamond"/>
          <w:sz w:val="24"/>
          <w:szCs w:val="24"/>
          <w:lang w:val="en-GB"/>
        </w:rPr>
        <w:t>7</w:t>
      </w:r>
      <w:r w:rsidRPr="00644AD7">
        <w:rPr>
          <w:rFonts w:ascii="Garamond" w:hAnsi="Garamond"/>
          <w:sz w:val="24"/>
          <w:szCs w:val="24"/>
          <w:lang w:val="en-GB"/>
        </w:rPr>
        <w:t xml:space="preserve">th of May. Such US and Australian activities, were denounced by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sz w:val="24"/>
          <w:szCs w:val="24"/>
          <w:lang w:val="en-GB"/>
        </w:rPr>
        <w:t>’s Foreign Ministry and its state media.</w:t>
      </w:r>
    </w:p>
    <w:p w:rsidR="001E7349" w:rsidRDefault="001E7349" w:rsidP="00952EE7">
      <w:pPr>
        <w:rPr>
          <w:rFonts w:ascii="Garamond" w:hAnsi="Garamond"/>
          <w:i/>
          <w:iCs/>
          <w:sz w:val="24"/>
          <w:szCs w:val="24"/>
          <w:lang w:val="en-GB"/>
        </w:rPr>
      </w:pPr>
      <w:r w:rsidRPr="00644AD7">
        <w:rPr>
          <w:rFonts w:ascii="Garamond" w:hAnsi="Garamond"/>
          <w:b/>
          <w:bCs/>
          <w:sz w:val="24"/>
          <w:szCs w:val="24"/>
          <w:lang w:val="en-GB"/>
        </w:rPr>
        <w:t>David Scott</w:t>
      </w:r>
      <w:r w:rsidRPr="00644AD7">
        <w:rPr>
          <w:rFonts w:ascii="Garamond" w:hAnsi="Garamond"/>
          <w:sz w:val="24"/>
          <w:szCs w:val="24"/>
          <w:lang w:val="en-GB"/>
        </w:rPr>
        <w:t xml:space="preserve"> </w:t>
      </w:r>
      <w:r w:rsidRPr="00644AD7">
        <w:rPr>
          <w:rFonts w:ascii="Garamond" w:hAnsi="Garamond"/>
          <w:i/>
          <w:iCs/>
          <w:sz w:val="24"/>
          <w:szCs w:val="24"/>
          <w:lang w:val="en-GB"/>
        </w:rPr>
        <w:t xml:space="preserve">(Dr.) – is a prolific </w:t>
      </w:r>
      <w:hyperlink r:id="rId8" w:history="1">
        <w:r w:rsidRPr="00644AD7">
          <w:rPr>
            <w:rStyle w:val="Hyperlink"/>
            <w:rFonts w:ascii="Garamond" w:hAnsi="Garamond"/>
            <w:i/>
            <w:iCs/>
            <w:sz w:val="24"/>
            <w:szCs w:val="24"/>
            <w:lang w:val="en-GB"/>
          </w:rPr>
          <w:t>author</w:t>
        </w:r>
      </w:hyperlink>
      <w:r w:rsidRPr="00644AD7">
        <w:rPr>
          <w:rFonts w:ascii="Garamond" w:hAnsi="Garamond"/>
          <w:i/>
          <w:iCs/>
          <w:sz w:val="24"/>
          <w:szCs w:val="24"/>
          <w:lang w:val="en-GB"/>
        </w:rPr>
        <w:t xml:space="preserve"> on the Indo-Pacific,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i/>
              <w:iCs/>
              <w:sz w:val="24"/>
              <w:szCs w:val="24"/>
              <w:lang w:val="en-GB"/>
            </w:rPr>
            <w:t>China</w:t>
          </w:r>
        </w:smartTag>
      </w:smartTag>
      <w:r w:rsidRPr="00644AD7">
        <w:rPr>
          <w:rFonts w:ascii="Garamond" w:hAnsi="Garamond"/>
          <w:i/>
          <w:iCs/>
          <w:sz w:val="24"/>
          <w:szCs w:val="24"/>
          <w:lang w:val="en-GB"/>
        </w:rPr>
        <w:t xml:space="preserve"> and </w:t>
      </w:r>
      <w:smartTag w:uri="urn:schemas-microsoft-com:office:smarttags" w:element="place">
        <w:smartTag w:uri="urn:schemas-microsoft-com:office:smarttags" w:element="country-region">
          <w:r w:rsidRPr="00644AD7">
            <w:rPr>
              <w:rFonts w:ascii="Garamond" w:hAnsi="Garamond"/>
              <w:i/>
              <w:iCs/>
              <w:sz w:val="24"/>
              <w:szCs w:val="24"/>
              <w:lang w:val="en-GB"/>
            </w:rPr>
            <w:t>India</w:t>
          </w:r>
        </w:smartTag>
      </w:smartTag>
      <w:r w:rsidRPr="00644AD7">
        <w:rPr>
          <w:rFonts w:ascii="Garamond" w:hAnsi="Garamond"/>
          <w:i/>
          <w:iCs/>
          <w:sz w:val="24"/>
          <w:szCs w:val="24"/>
          <w:lang w:val="en-GB"/>
        </w:rPr>
        <w:t>; an associate member of the Corbett Centre for Maritime Policy Studies, and a member of the Center for International Maritime Security (CIMSEC)</w:t>
      </w:r>
    </w:p>
    <w:p w:rsidR="001E7349" w:rsidRPr="00FB2574" w:rsidRDefault="001E7349" w:rsidP="00FB2574">
      <w:pPr>
        <w:rPr>
          <w:rFonts w:ascii="Garamond" w:hAnsi="Garamond"/>
          <w:i/>
          <w:iCs/>
          <w:sz w:val="24"/>
          <w:szCs w:val="24"/>
          <w:lang w:val="fr-FR"/>
        </w:rPr>
      </w:pPr>
      <w:r w:rsidRPr="00952EE7">
        <w:rPr>
          <w:rFonts w:ascii="Garamond" w:hAnsi="Garamond"/>
          <w:sz w:val="24"/>
          <w:szCs w:val="24"/>
          <w:lang w:val="fr-FR"/>
        </w:rPr>
        <w:t>Source</w:t>
      </w:r>
      <w:r>
        <w:rPr>
          <w:rFonts w:ascii="Garamond" w:hAnsi="Garamond"/>
          <w:sz w:val="24"/>
          <w:szCs w:val="24"/>
          <w:lang w:val="fr-FR"/>
        </w:rPr>
        <w:t> :</w:t>
      </w:r>
      <w:r w:rsidRPr="00952EE7">
        <w:rPr>
          <w:rFonts w:ascii="Garamond" w:hAnsi="Garamond"/>
          <w:sz w:val="24"/>
          <w:szCs w:val="24"/>
          <w:lang w:val="fr-FR"/>
        </w:rPr>
        <w:t xml:space="preserve"> </w:t>
      </w:r>
      <w:hyperlink r:id="rId9" w:history="1">
        <w:r w:rsidRPr="00952EE7">
          <w:rPr>
            <w:rStyle w:val="Hyperlink"/>
            <w:rFonts w:ascii="Garamond" w:hAnsi="Garamond"/>
            <w:sz w:val="24"/>
            <w:szCs w:val="24"/>
            <w:lang w:val="fr-FR"/>
          </w:rPr>
          <w:t>http://www.natofoundation.org/indo-pacific/china-covid-19-indo-pacific/</w:t>
        </w:r>
      </w:hyperlink>
    </w:p>
    <w:sectPr w:rsidR="001E7349" w:rsidRPr="00FB2574" w:rsidSect="00255D7F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349" w:rsidRDefault="001E7349">
      <w:pPr>
        <w:spacing w:after="0" w:line="240" w:lineRule="auto"/>
      </w:pPr>
      <w:r>
        <w:separator/>
      </w:r>
    </w:p>
  </w:endnote>
  <w:endnote w:type="continuationSeparator" w:id="0">
    <w:p w:rsidR="001E7349" w:rsidRDefault="001E7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349" w:rsidRDefault="001E734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E7349" w:rsidRDefault="001E73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1E6C1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C5B658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C826A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EF60A2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E9845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A0F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57CF2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12B1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7A25C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12236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283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0FC8"/>
    <w:rsid w:val="0011626F"/>
    <w:rsid w:val="00126080"/>
    <w:rsid w:val="00142E91"/>
    <w:rsid w:val="001E7349"/>
    <w:rsid w:val="002341D5"/>
    <w:rsid w:val="00255D7F"/>
    <w:rsid w:val="00321E37"/>
    <w:rsid w:val="003663DA"/>
    <w:rsid w:val="003E1302"/>
    <w:rsid w:val="004640A8"/>
    <w:rsid w:val="004B0B9F"/>
    <w:rsid w:val="006105B4"/>
    <w:rsid w:val="00644AD7"/>
    <w:rsid w:val="006575C0"/>
    <w:rsid w:val="006B0A7F"/>
    <w:rsid w:val="00771101"/>
    <w:rsid w:val="00804715"/>
    <w:rsid w:val="008B1BC2"/>
    <w:rsid w:val="00952EE7"/>
    <w:rsid w:val="00A2087E"/>
    <w:rsid w:val="00AA1439"/>
    <w:rsid w:val="00B15C02"/>
    <w:rsid w:val="00B52109"/>
    <w:rsid w:val="00B62604"/>
    <w:rsid w:val="00C14CFA"/>
    <w:rsid w:val="00C730DB"/>
    <w:rsid w:val="00C9323D"/>
    <w:rsid w:val="00CB4E3C"/>
    <w:rsid w:val="00E60FC8"/>
    <w:rsid w:val="00E86FA7"/>
    <w:rsid w:val="00FB2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D7F"/>
    <w:pPr>
      <w:suppressAutoHyphens/>
      <w:autoSpaceDN w:val="0"/>
      <w:spacing w:after="160" w:line="254" w:lineRule="auto"/>
      <w:textAlignment w:val="baseline"/>
    </w:pPr>
    <w:rPr>
      <w:lang w:val="it-IT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55D7F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rsid w:val="00255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C02"/>
    <w:rPr>
      <w:rFonts w:ascii="Times New Roman" w:hAnsi="Times New Roman" w:cs="Times New Roman"/>
      <w:sz w:val="2"/>
      <w:lang w:val="it-IT" w:eastAsia="en-US"/>
    </w:rPr>
  </w:style>
  <w:style w:type="character" w:customStyle="1" w:styleId="TestofumettoCarattere">
    <w:name w:val="Testo fumetto Carattere"/>
    <w:basedOn w:val="DefaultParagraphFont"/>
    <w:uiPriority w:val="99"/>
    <w:rsid w:val="00255D7F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99"/>
    <w:qFormat/>
    <w:rsid w:val="00255D7F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255D7F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255D7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-scott.com/publication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atofoundation.org/indo-pacific/china-covid-19-indo-pacifi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526</Words>
  <Characters>2999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saccucci</dc:creator>
  <cp:keywords/>
  <dc:description/>
  <cp:lastModifiedBy>scotties</cp:lastModifiedBy>
  <cp:revision>2</cp:revision>
  <cp:lastPrinted>2020-01-15T09:39:00Z</cp:lastPrinted>
  <dcterms:created xsi:type="dcterms:W3CDTF">2020-05-22T19:09:00Z</dcterms:created>
  <dcterms:modified xsi:type="dcterms:W3CDTF">2020-05-22T19:09:00Z</dcterms:modified>
</cp:coreProperties>
</file>